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ascii="方正小标宋简体" w:hAnsi="Lucida Sans Unicode" w:eastAsia="方正小标宋简体" w:cs="Lucida Sans Unicode"/>
          <w:kern w:val="0"/>
          <w:sz w:val="44"/>
          <w:szCs w:val="44"/>
        </w:rPr>
      </w:pPr>
    </w:p>
    <w:p>
      <w:pPr>
        <w:widowControl/>
        <w:spacing w:line="560" w:lineRule="exact"/>
        <w:jc w:val="center"/>
        <w:textAlignment w:val="baseline"/>
        <w:rPr>
          <w:rFonts w:ascii="方正小标宋简体" w:hAnsi="Lucida Sans Unicode" w:eastAsia="方正小标宋简体" w:cs="Lucida Sans Unicode"/>
          <w:kern w:val="0"/>
          <w:sz w:val="44"/>
          <w:szCs w:val="44"/>
        </w:rPr>
      </w:pPr>
    </w:p>
    <w:p>
      <w:pPr>
        <w:widowControl/>
        <w:spacing w:line="560" w:lineRule="exact"/>
        <w:jc w:val="center"/>
        <w:textAlignment w:val="baseline"/>
        <w:rPr>
          <w:rFonts w:ascii="方正小标宋简体" w:hAnsi="Lucida Sans Unicode" w:eastAsia="方正小标宋简体" w:cs="Lucida Sans Unicode"/>
          <w:kern w:val="0"/>
          <w:sz w:val="44"/>
          <w:szCs w:val="44"/>
        </w:rPr>
      </w:pPr>
    </w:p>
    <w:p>
      <w:pPr>
        <w:widowControl/>
        <w:spacing w:line="560" w:lineRule="exact"/>
        <w:jc w:val="center"/>
        <w:textAlignment w:val="baseline"/>
        <w:rPr>
          <w:rFonts w:ascii="方正小标宋简体" w:hAnsi="Lucida Sans Unicode" w:eastAsia="方正小标宋简体" w:cs="Lucida Sans Unicode"/>
          <w:kern w:val="0"/>
          <w:sz w:val="44"/>
          <w:szCs w:val="44"/>
        </w:rPr>
      </w:pPr>
    </w:p>
    <w:p>
      <w:pPr>
        <w:widowControl/>
        <w:spacing w:line="560" w:lineRule="exact"/>
        <w:jc w:val="center"/>
        <w:textAlignment w:val="baseline"/>
        <w:rPr>
          <w:rFonts w:ascii="方正小标宋简体" w:hAnsi="Lucida Sans Unicode" w:eastAsia="方正小标宋简体" w:cs="Lucida Sans Unicode"/>
          <w:kern w:val="0"/>
          <w:sz w:val="44"/>
          <w:szCs w:val="44"/>
        </w:rPr>
      </w:pPr>
    </w:p>
    <w:p>
      <w:pPr>
        <w:widowControl/>
        <w:spacing w:line="560" w:lineRule="exact"/>
        <w:jc w:val="center"/>
        <w:textAlignment w:val="baseline"/>
        <w:rPr>
          <w:rFonts w:ascii="方正小标宋简体" w:hAnsi="Lucida Sans Unicode" w:eastAsia="方正小标宋简体" w:cs="Lucida Sans Unicode"/>
          <w:kern w:val="0"/>
          <w:sz w:val="44"/>
          <w:szCs w:val="44"/>
        </w:rPr>
      </w:pPr>
    </w:p>
    <w:p>
      <w:pPr>
        <w:spacing w:line="640" w:lineRule="exact"/>
        <w:jc w:val="center"/>
        <w:rPr>
          <w:rFonts w:ascii="仿宋_GB2312" w:eastAsia="仿宋_GB2312" w:cs="仿宋_GB2312"/>
          <w:sz w:val="32"/>
          <w:szCs w:val="32"/>
        </w:rPr>
      </w:pPr>
      <w:r>
        <w:rPr>
          <w:rFonts w:hint="eastAsia" w:ascii="仿宋_GB2312" w:eastAsia="仿宋_GB2312" w:cs="仿宋_GB2312"/>
          <w:sz w:val="32"/>
          <w:szCs w:val="32"/>
        </w:rPr>
        <w:t>莆房金管〔</w:t>
      </w:r>
      <w:r>
        <w:rPr>
          <w:rFonts w:ascii="仿宋_GB2312" w:eastAsia="仿宋_GB2312" w:cs="仿宋_GB2312"/>
          <w:sz w:val="32"/>
          <w:szCs w:val="32"/>
        </w:rPr>
        <w:t>201</w:t>
      </w:r>
      <w:r>
        <w:rPr>
          <w:rFonts w:hint="eastAsia" w:ascii="仿宋_GB2312" w:eastAsia="仿宋_GB2312" w:cs="仿宋_GB2312"/>
          <w:sz w:val="32"/>
          <w:szCs w:val="32"/>
        </w:rPr>
        <w:t>8〕29号</w:t>
      </w:r>
    </w:p>
    <w:p>
      <w:pPr>
        <w:spacing w:line="640" w:lineRule="exact"/>
        <w:jc w:val="center"/>
        <w:rPr>
          <w:rFonts w:ascii="仿宋_GB2312" w:hAnsi="宋体" w:eastAsia="仿宋_GB2312" w:cs="Times New Roman"/>
          <w:kern w:val="0"/>
          <w:sz w:val="32"/>
          <w:szCs w:val="32"/>
        </w:rPr>
      </w:pPr>
    </w:p>
    <w:p>
      <w:pPr>
        <w:widowControl/>
        <w:spacing w:line="560" w:lineRule="exact"/>
        <w:jc w:val="center"/>
        <w:textAlignment w:val="baseline"/>
        <w:rPr>
          <w:rFonts w:ascii="仿宋" w:hAnsi="仿宋" w:eastAsia="仿宋" w:cs="Lucida Sans Unicode"/>
          <w:kern w:val="0"/>
          <w:sz w:val="32"/>
          <w:szCs w:val="32"/>
        </w:rPr>
      </w:pPr>
    </w:p>
    <w:p>
      <w:pPr>
        <w:widowControl/>
        <w:spacing w:line="640" w:lineRule="exact"/>
        <w:jc w:val="center"/>
        <w:textAlignment w:val="baseline"/>
        <w:rPr>
          <w:rFonts w:hint="eastAsia" w:ascii="方正小标宋简体" w:hAnsi="Lucida Sans Unicode" w:eastAsia="方正小标宋简体" w:cs="Lucida Sans Unicode"/>
          <w:kern w:val="0"/>
          <w:sz w:val="44"/>
          <w:szCs w:val="44"/>
        </w:rPr>
      </w:pPr>
      <w:r>
        <w:rPr>
          <w:rFonts w:hint="eastAsia" w:ascii="方正小标宋简体" w:hAnsi="Lucida Sans Unicode" w:eastAsia="方正小标宋简体" w:cs="Lucida Sans Unicode"/>
          <w:kern w:val="0"/>
          <w:sz w:val="44"/>
          <w:szCs w:val="44"/>
        </w:rPr>
        <w:t>莆田市住房公积金管理中心关于印发     《莆田市住房公积金管理中心落实</w:t>
      </w:r>
    </w:p>
    <w:p>
      <w:pPr>
        <w:widowControl/>
        <w:spacing w:line="640" w:lineRule="exact"/>
        <w:jc w:val="center"/>
        <w:textAlignment w:val="baseline"/>
        <w:rPr>
          <w:rFonts w:ascii="方正小标宋简体" w:hAnsi="Lucida Sans Unicode" w:eastAsia="方正小标宋简体" w:cs="Lucida Sans Unicode"/>
          <w:kern w:val="0"/>
          <w:sz w:val="44"/>
          <w:szCs w:val="44"/>
        </w:rPr>
      </w:pPr>
      <w:r>
        <w:rPr>
          <w:rFonts w:hint="eastAsia" w:ascii="方正小标宋简体" w:hAnsi="Lucida Sans Unicode" w:eastAsia="方正小标宋简体" w:cs="Lucida Sans Unicode"/>
          <w:kern w:val="0"/>
          <w:sz w:val="44"/>
          <w:szCs w:val="44"/>
        </w:rPr>
        <w:t>2018年政务公开工作要点              实施方案》的通知</w:t>
      </w:r>
    </w:p>
    <w:p>
      <w:pPr>
        <w:widowControl/>
        <w:spacing w:line="640" w:lineRule="exact"/>
        <w:textAlignment w:val="baseline"/>
        <w:rPr>
          <w:rFonts w:ascii="仿宋_GB2312" w:eastAsia="仿宋_GB2312" w:cs="Lucida Sans Unicode" w:hAnsiTheme="minorEastAsia"/>
          <w:kern w:val="0"/>
          <w:sz w:val="32"/>
          <w:szCs w:val="32"/>
        </w:rPr>
      </w:pPr>
    </w:p>
    <w:p>
      <w:pPr>
        <w:widowControl/>
        <w:spacing w:line="640" w:lineRule="exact"/>
        <w:textAlignment w:val="baseline"/>
        <w:rPr>
          <w:rFonts w:ascii="仿宋_GB2312" w:eastAsia="仿宋_GB2312" w:cs="Lucida Sans Unicode" w:hAnsiTheme="minorEastAsia"/>
          <w:kern w:val="0"/>
          <w:sz w:val="32"/>
          <w:szCs w:val="32"/>
        </w:rPr>
      </w:pPr>
      <w:r>
        <w:rPr>
          <w:rFonts w:hint="eastAsia" w:ascii="仿宋_GB2312" w:eastAsia="仿宋_GB2312" w:cs="Lucida Sans Unicode" w:hAnsiTheme="minorEastAsia"/>
          <w:kern w:val="0"/>
          <w:sz w:val="32"/>
          <w:szCs w:val="32"/>
        </w:rPr>
        <w:t>各科室、管理部：</w:t>
      </w:r>
    </w:p>
    <w:p>
      <w:pPr>
        <w:spacing w:line="64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现将《莆田市住房公积金管理中心落实2018年政务公开工作要点实施方案》印发给你们，请认真贯彻落实。</w:t>
      </w:r>
    </w:p>
    <w:p>
      <w:pPr>
        <w:widowControl/>
        <w:spacing w:line="640" w:lineRule="exact"/>
        <w:ind w:firstLine="640" w:firstLineChars="200"/>
        <w:textAlignment w:val="baseline"/>
        <w:rPr>
          <w:rFonts w:ascii="仿宋_GB2312" w:eastAsia="仿宋_GB2312" w:cs="Lucida Sans Unicode" w:hAnsiTheme="minorEastAsia"/>
          <w:kern w:val="0"/>
          <w:sz w:val="32"/>
          <w:szCs w:val="32"/>
        </w:rPr>
      </w:pPr>
      <w:r>
        <w:rPr>
          <w:rFonts w:hint="eastAsia" w:ascii="仿宋_GB2312" w:eastAsia="仿宋_GB2312" w:cs="Lucida Sans Unicode" w:hAnsiTheme="minorEastAsia"/>
          <w:kern w:val="0"/>
          <w:sz w:val="32"/>
          <w:szCs w:val="32"/>
        </w:rPr>
        <w:t>各科室、管理部要高度重视政务公开工作，并按照实施方案的要求，认真研究、逐条对比，明确工作重点、责任人和完成时限，全年工作要点落实情况请于11月20日前报送稽核信息科，并由稽核信息科汇总后报送市政府办公室。为推动政务公开工作顺利有序地开展，中心已将政务公开工作纳入年度绩效考核体系。</w:t>
      </w:r>
    </w:p>
    <w:p>
      <w:pPr>
        <w:spacing w:line="640" w:lineRule="exact"/>
        <w:ind w:firstLine="640"/>
        <w:rPr>
          <w:rFonts w:ascii="仿宋_GB2312" w:eastAsia="仿宋_GB2312"/>
          <w:sz w:val="32"/>
          <w:szCs w:val="32"/>
        </w:rPr>
      </w:pPr>
      <w:r>
        <w:rPr>
          <w:rFonts w:hint="eastAsia" w:ascii="仿宋_GB2312" w:eastAsia="仿宋_GB2312"/>
          <w:sz w:val="32"/>
          <w:szCs w:val="32"/>
        </w:rPr>
        <w:t>特此通知。</w:t>
      </w:r>
    </w:p>
    <w:p>
      <w:pPr>
        <w:spacing w:line="640" w:lineRule="exact"/>
        <w:ind w:firstLine="64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640" w:lineRule="exact"/>
        <w:ind w:left="4160" w:hanging="4160" w:hangingChars="1300"/>
        <w:jc w:val="left"/>
        <w:rPr>
          <w:rFonts w:hint="eastAsia" w:ascii="仿宋_GB2312" w:eastAsia="仿宋_GB2312"/>
          <w:sz w:val="32"/>
          <w:szCs w:val="32"/>
        </w:rPr>
      </w:pPr>
      <w:r>
        <w:rPr>
          <w:rFonts w:hint="eastAsia" w:ascii="仿宋_GB2312" w:eastAsia="仿宋_GB2312"/>
          <w:sz w:val="32"/>
          <w:szCs w:val="32"/>
        </w:rPr>
        <w:t xml:space="preserve">                    莆田市住房公积金管理中心</w:t>
      </w:r>
    </w:p>
    <w:p>
      <w:pPr>
        <w:spacing w:line="640" w:lineRule="exact"/>
        <w:ind w:firstLine="4160" w:firstLineChars="1300"/>
        <w:jc w:val="left"/>
        <w:rPr>
          <w:rFonts w:ascii="仿宋_GB2312" w:eastAsia="仿宋_GB2312"/>
          <w:sz w:val="32"/>
          <w:szCs w:val="32"/>
        </w:rPr>
      </w:pPr>
      <w:r>
        <w:rPr>
          <w:rFonts w:hint="eastAsia" w:ascii="仿宋_GB2312" w:eastAsia="仿宋_GB2312"/>
          <w:sz w:val="32"/>
          <w:szCs w:val="32"/>
        </w:rPr>
        <w:t>2018年6</w:t>
      </w:r>
      <w:bookmarkStart w:id="0" w:name="_GoBack"/>
      <w:bookmarkEnd w:id="0"/>
      <w:r>
        <w:rPr>
          <w:rFonts w:hint="eastAsia" w:ascii="仿宋_GB2312" w:eastAsia="仿宋_GB2312"/>
          <w:sz w:val="32"/>
          <w:szCs w:val="32"/>
        </w:rPr>
        <w:t>月26日</w:t>
      </w:r>
    </w:p>
    <w:p>
      <w:pPr>
        <w:widowControl/>
        <w:spacing w:line="64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p>
    <w:p>
      <w:pPr>
        <w:widowControl/>
        <w:spacing w:line="560" w:lineRule="exact"/>
        <w:ind w:firstLine="5280" w:firstLineChars="1650"/>
        <w:textAlignment w:val="baseline"/>
        <w:rPr>
          <w:rFonts w:ascii="仿宋_GB2312" w:eastAsia="仿宋_GB2312"/>
          <w:sz w:val="32"/>
          <w:szCs w:val="32"/>
        </w:rPr>
      </w:pPr>
      <w:r>
        <w:rPr>
          <w:rFonts w:hint="eastAsia" w:ascii="仿宋_GB2312" w:eastAsia="仿宋_GB2312"/>
          <w:sz w:val="32"/>
          <w:szCs w:val="32"/>
        </w:rP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outlineLvl w:val="9"/>
        <w:rPr>
          <w:rFonts w:ascii="方正小标宋简体" w:hAnsi="Lucida Sans Unicode" w:eastAsia="方正小标宋简体" w:cs="Lucida Sans Unicode"/>
          <w:kern w:val="0"/>
          <w:sz w:val="44"/>
          <w:szCs w:val="44"/>
        </w:rPr>
      </w:pPr>
      <w:r>
        <w:rPr>
          <w:rFonts w:hint="eastAsia" w:ascii="方正小标宋简体" w:hAnsi="Lucida Sans Unicode" w:eastAsia="方正小标宋简体" w:cs="Lucida Sans Unicode"/>
          <w:kern w:val="0"/>
          <w:sz w:val="44"/>
          <w:szCs w:val="44"/>
        </w:rPr>
        <w:t>莆田市住房公积金管理中心落实2018年政务公开工作要点实施方案</w:t>
      </w:r>
    </w:p>
    <w:p>
      <w:pPr>
        <w:widowControl/>
        <w:spacing w:line="560" w:lineRule="exact"/>
        <w:textAlignment w:val="baseline"/>
        <w:rPr>
          <w:rFonts w:ascii="仿宋_GB2312" w:eastAsia="仿宋_GB2312" w:cs="Lucida Sans Unicode" w:hAnsiTheme="minorEastAsia"/>
          <w:kern w:val="0"/>
          <w:sz w:val="32"/>
          <w:szCs w:val="32"/>
        </w:rPr>
      </w:pP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为认真贯彻落实市政府办公室下发的《2018年政务公开工作主要任务分解表的通知》（莆政办网传</w:t>
      </w:r>
      <w:r>
        <w:rPr>
          <w:rFonts w:hint="eastAsia" w:ascii="仿宋_GB2312" w:eastAsia="仿宋_GB2312" w:cs="仿宋_GB2312"/>
          <w:sz w:val="32"/>
          <w:szCs w:val="32"/>
        </w:rPr>
        <w:t>〔</w:t>
      </w:r>
      <w:r>
        <w:rPr>
          <w:rFonts w:ascii="仿宋_GB2312" w:eastAsia="仿宋_GB2312" w:cs="仿宋_GB2312"/>
          <w:sz w:val="32"/>
          <w:szCs w:val="32"/>
        </w:rPr>
        <w:t>201</w:t>
      </w:r>
      <w:r>
        <w:rPr>
          <w:rFonts w:hint="eastAsia" w:ascii="仿宋_GB2312" w:eastAsia="仿宋_GB2312" w:cs="仿宋_GB2312"/>
          <w:sz w:val="32"/>
          <w:szCs w:val="32"/>
        </w:rPr>
        <w:t>8〕</w:t>
      </w:r>
      <w:r>
        <w:rPr>
          <w:rFonts w:hint="eastAsia" w:ascii="仿宋_GB2312" w:hAnsi="仿宋_GB2312" w:eastAsia="仿宋_GB2312" w:cs="仿宋_GB2312"/>
          <w:kern w:val="0"/>
          <w:sz w:val="32"/>
          <w:szCs w:val="32"/>
        </w:rPr>
        <w:t>33号）精神，结合中心实际，特制定《莆田市住房公积金管理中心落实2018年政务公开工作要点实施方案》，方案内容如下：</w:t>
      </w:r>
    </w:p>
    <w:p>
      <w:pPr>
        <w:widowControl/>
        <w:spacing w:line="560" w:lineRule="exact"/>
        <w:ind w:firstLine="640" w:firstLineChars="20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一、做好权责清单调整和公开工作。</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大力推动中心行政权力清单、责任清单和公共服务项目清单的融合，并通过市政府门户网站、中心门户网站进行发布，方便公众获取和监督。</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牵头科室：行政服务科</w:t>
      </w:r>
    </w:p>
    <w:p>
      <w:pPr>
        <w:widowControl/>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责任科室：归集使用科、信贷科、稽核信息科</w:t>
      </w:r>
    </w:p>
    <w:p>
      <w:pPr>
        <w:widowControl/>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黑体" w:hAnsi="黑体" w:eastAsia="黑体" w:cs="仿宋_GB2312"/>
          <w:kern w:val="0"/>
          <w:sz w:val="32"/>
          <w:szCs w:val="32"/>
        </w:rPr>
        <w:t>二、推动全面实施“双随机、一公开”监管。</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依法公开随机抽查事项清单，明确抽查事项、对象、依据，及时公布抽查结果。多渠道、全方位及时公开综合监管和检查信息，提高监管效能和公正性，增强监管威慑力和公信力。</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牵头科室：行政服务科</w:t>
      </w:r>
    </w:p>
    <w:p>
      <w:pPr>
        <w:widowControl/>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责任科室：归集使用科、信贷科、财务科、稽核信息科、各管理部</w:t>
      </w:r>
    </w:p>
    <w:p>
      <w:pPr>
        <w:widowControl/>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黑体" w:hAnsi="黑体" w:eastAsia="黑体" w:cs="仿宋_GB2312"/>
          <w:kern w:val="0"/>
          <w:sz w:val="32"/>
          <w:szCs w:val="32"/>
        </w:rPr>
        <w:t>三、推进“互联网+政务服务”。</w:t>
      </w:r>
    </w:p>
    <w:p>
      <w:pPr>
        <w:pStyle w:val="11"/>
        <w:widowControl/>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整合12329热线、短信、网上业务大厅、门户网站、微信公众号、手机客户端、自助终端等多种服务的综合服务平台，拟主动对接市数字办，由市数字办代表相关行业单位与微信、支付宝第三方平台合作，运用刷脸方式验证个人账户，推动网上办事服务事项标准化，真正实现“一趟不用跑”，使业务办理达到零材料、零接触、零等待，提高客户满意度。</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牵头科室：稽核信息科</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责任科室：归集使用科、信贷科、行政服务科、各管理部 </w:t>
      </w:r>
    </w:p>
    <w:p>
      <w:pPr>
        <w:widowControl/>
        <w:spacing w:line="560" w:lineRule="exact"/>
        <w:ind w:left="64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四、推进住房公积金业务政策公开透明。</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以积极推进房地产市健康发展为目标，加大全市住房公积金政策公开力度，提高公众的知晓度，不断增强政策公开的系统性、针对性、可读性。</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牵头科室：行政服务科 </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责任科室：归集使用科、信贷科、稽核信息科</w:t>
      </w:r>
    </w:p>
    <w:p>
      <w:pPr>
        <w:widowControl/>
        <w:spacing w:line="560" w:lineRule="exact"/>
        <w:ind w:left="64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五、推进住房公积金信息公开。</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做好全市住房公积金的信息公开工作，公开住房公积金年度报告，积极引导广大群众关注和参与住房公积金的积极性，为开展住房公积金工作营造良好社会氛围。对于涉及公共利益、公众权益、社会关切及需要社会广泛知晓的住房公积金建议和提案办理进行全文公开。</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牵头科室：稽核信息科</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责任科室：归集使用科、信贷科、财务科、行政服务科、各管理部</w:t>
      </w:r>
    </w:p>
    <w:p>
      <w:pPr>
        <w:widowControl/>
        <w:numPr>
          <w:ilvl w:val="0"/>
          <w:numId w:val="1"/>
        </w:numPr>
        <w:spacing w:line="560" w:lineRule="exact"/>
        <w:ind w:firstLine="640" w:firstLineChars="20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深入推进预决算公开。</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积极推进中心预决算公开，公开内容包括中心职责、机构设置、一般公共预算收支、政府性基金预算收支、机关运行经费等情况。</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牵头科室：财务科</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责任科室：归集使用科、信贷科、行政服务科、稽核信息科、办公室、各管理部</w:t>
      </w:r>
    </w:p>
    <w:p>
      <w:pPr>
        <w:widowControl/>
        <w:numPr>
          <w:ilvl w:val="0"/>
          <w:numId w:val="2"/>
        </w:numPr>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黑体" w:hAnsi="黑体" w:eastAsia="黑体" w:cs="仿宋_GB2312"/>
          <w:kern w:val="0"/>
          <w:sz w:val="32"/>
          <w:szCs w:val="32"/>
        </w:rPr>
        <w:t>落实政策解读制度</w:t>
      </w:r>
      <w:r>
        <w:rPr>
          <w:rFonts w:hint="eastAsia" w:ascii="仿宋_GB2312" w:hAnsi="仿宋_GB2312" w:eastAsia="仿宋_GB2312" w:cs="仿宋_GB2312"/>
          <w:b/>
          <w:kern w:val="0"/>
          <w:sz w:val="32"/>
          <w:szCs w:val="32"/>
        </w:rPr>
        <w:t>。</w:t>
      </w:r>
    </w:p>
    <w:p>
      <w:pPr>
        <w:widowControl/>
        <w:spacing w:line="56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对中心出台的涉及面广、社会关注度高的住房公积</w:t>
      </w:r>
    </w:p>
    <w:p>
      <w:pPr>
        <w:widowControl/>
        <w:spacing w:line="560" w:lineRule="exact"/>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金法规政策和重大措施，应于文件公开后3个工作日内在门户网站和媒体发布相关解读材料，在条件允许的情况下，采取多种方式进行发布，及时全面准确解读政策，增进社会认同，全面贯彻落实政策性文件与解读方案、解读材料同步组织、同步审签、同步部署的“三同步”工作要求。</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牵头科室：行政服务科</w:t>
      </w:r>
    </w:p>
    <w:p>
      <w:pPr>
        <w:widowControl/>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责任科室：归集使用科、信贷科、财务科、稽核信息科、办公室、各管理部</w:t>
      </w:r>
    </w:p>
    <w:p>
      <w:pPr>
        <w:widowControl/>
        <w:spacing w:line="560" w:lineRule="exact"/>
        <w:ind w:firstLine="640" w:firstLineChars="20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八、推进政策解读形式多样化。</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运用客观数据、生动实例等，推广运用图表、图像、视频等多种形式进行形象化、通俗化解读，把政策解释好，避免误解误读。</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牵头科室：稽核信息科</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责任科室：归集使用科、信贷科、行政服务科、财务科、办公室、各管理部</w:t>
      </w:r>
    </w:p>
    <w:p>
      <w:pPr>
        <w:widowControl/>
        <w:spacing w:line="560" w:lineRule="exact"/>
        <w:ind w:firstLine="640" w:firstLineChars="20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九、落实主要领导“第一解读人”职责。</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涉及全市公积金的重要政务舆情、媒体关切等热点问题，要认真研判处置，及时借助媒体、网站等渠道发布准确权威信息，讲清事实真相、有关政策措施、处置结果等。中心领导当好“第一解读人”职责，做到快速反应、及时发声，及时准确传递权威信息和政策意图。</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牵头科室：办公室</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责任科室：归集使用科、信贷科、行政服务科、稽核信息科 </w:t>
      </w:r>
    </w:p>
    <w:p>
      <w:pPr>
        <w:widowControl/>
        <w:spacing w:line="560" w:lineRule="exact"/>
        <w:ind w:firstLine="640" w:firstLineChars="200"/>
        <w:textAlignment w:val="baseline"/>
        <w:rPr>
          <w:rFonts w:hint="eastAsia" w:ascii="黑体" w:hAnsi="黑体" w:eastAsia="黑体" w:cs="仿宋_GB2312"/>
          <w:kern w:val="0"/>
          <w:sz w:val="32"/>
          <w:szCs w:val="32"/>
        </w:rPr>
      </w:pPr>
      <w:r>
        <w:rPr>
          <w:rFonts w:hint="eastAsia" w:ascii="黑体" w:hAnsi="黑体" w:eastAsia="黑体" w:cs="仿宋_GB2312"/>
          <w:kern w:val="0"/>
          <w:sz w:val="32"/>
          <w:szCs w:val="32"/>
        </w:rPr>
        <w:t>十、完善政府信息公开审查机制。</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善住房公积金政府信息公开审查机制，健全审查制度和工作规程，对拟公开的政府信息进行严格依法审查。特别是做好公开内容表述、公开时机、公开方式的研判，避免发生信息发布失信、影响社会稳定等问题。依法保护好个人隐私，除惩戒性公示、强制性信息披露外，对于其他涉及个人隐私的政府信息，公开要去标识化处理选择恰当的公开方式和范围。</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牵头科室：稽核信息科</w:t>
      </w:r>
    </w:p>
    <w:p>
      <w:pPr>
        <w:widowControl/>
        <w:spacing w:line="560" w:lineRule="exact"/>
        <w:ind w:firstLine="640" w:firstLineChars="200"/>
        <w:textAlignment w:val="baseline"/>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责任科室：归集使用科、信贷科、行政服务科、办公室、各管理部</w:t>
      </w:r>
    </w:p>
    <w:p>
      <w:pPr>
        <w:widowControl/>
        <w:adjustRightInd w:val="0"/>
        <w:snapToGrid w:val="0"/>
        <w:spacing w:line="560" w:lineRule="exact"/>
        <w:ind w:firstLine="640" w:firstLineChars="200"/>
        <w:rPr>
          <w:rFonts w:hint="eastAsia" w:ascii="仿宋_GB2312" w:hAnsi="仿宋_GB2312" w:eastAsia="仿宋_GB2312" w:cs="仿宋_GB2312"/>
          <w:b/>
          <w:kern w:val="0"/>
          <w:sz w:val="32"/>
          <w:szCs w:val="32"/>
        </w:rPr>
      </w:pPr>
      <w:r>
        <w:rPr>
          <w:rFonts w:hint="eastAsia" w:ascii="黑体" w:hAnsi="黑体" w:eastAsia="黑体" w:cs="仿宋_GB2312"/>
          <w:kern w:val="0"/>
          <w:sz w:val="32"/>
          <w:szCs w:val="32"/>
        </w:rPr>
        <w:t>十一、加快与大数据平台联网</w:t>
      </w:r>
      <w:r>
        <w:rPr>
          <w:rFonts w:hint="eastAsia" w:ascii="仿宋_GB2312" w:hAnsi="仿宋_GB2312" w:eastAsia="仿宋_GB2312" w:cs="仿宋_GB2312"/>
          <w:b/>
          <w:kern w:val="0"/>
          <w:sz w:val="32"/>
          <w:szCs w:val="32"/>
        </w:rPr>
        <w:t>。</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推进通过市政务数据共享平台与公安、民政、人社、医保产等部门联网工作，争取最大限度实现“T+0”或“T+1”服务，职工尽量不用再去相关部门出具各类情况证明就能办理公积金业务。启动中心自主向人民银行报送公积金归集、信贷个人征信数据业务，通过征信联网、自主报送，督促借款人按时履行还贷义务，强化贷后管理，防范资金风险。</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牵头科室：稽核信息科</w:t>
      </w:r>
    </w:p>
    <w:p>
      <w:pPr>
        <w:widowControl/>
        <w:spacing w:line="560" w:lineRule="exact"/>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责任科室：归集使用科、信贷科、行政服务科</w:t>
      </w:r>
    </w:p>
    <w:p>
      <w:pPr>
        <w:pStyle w:val="2"/>
        <w:spacing w:line="560" w:lineRule="exact"/>
        <w:ind w:firstLine="640" w:firstLineChars="200"/>
        <w:rPr>
          <w:rFonts w:ascii="仿宋_GB2312" w:hAnsi="仿宋_GB2312" w:eastAsia="仿宋_GB2312" w:cs="仿宋_GB2312"/>
          <w:kern w:val="0"/>
          <w:sz w:val="32"/>
          <w:szCs w:val="32"/>
        </w:rPr>
      </w:pPr>
    </w:p>
    <w:p>
      <w:pPr>
        <w:pStyle w:val="2"/>
        <w:spacing w:line="560" w:lineRule="exact"/>
        <w:ind w:firstLine="640" w:firstLineChars="200"/>
        <w:rPr>
          <w:rFonts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hint="eastAsia" w:ascii="仿宋_GB2312" w:hAnsi="仿宋_GB2312" w:eastAsia="仿宋_GB2312" w:cs="仿宋_GB2312"/>
          <w:kern w:val="0"/>
          <w:sz w:val="32"/>
          <w:szCs w:val="32"/>
        </w:rPr>
      </w:pPr>
    </w:p>
    <w:p>
      <w:pPr>
        <w:pStyle w:val="2"/>
        <w:spacing w:line="560" w:lineRule="exact"/>
        <w:ind w:firstLine="640" w:firstLineChars="200"/>
        <w:rPr>
          <w:rFonts w:ascii="仿宋_GB2312" w:hAnsi="仿宋_GB2312" w:eastAsia="仿宋_GB2312" w:cs="仿宋_GB2312"/>
          <w:kern w:val="0"/>
          <w:sz w:val="32"/>
          <w:szCs w:val="32"/>
        </w:rPr>
      </w:pPr>
    </w:p>
    <w:p>
      <w:pPr>
        <w:spacing w:line="560" w:lineRule="exact"/>
        <w:ind w:firstLine="140" w:firstLineChars="50"/>
        <w:rPr>
          <w:rFonts w:ascii="仿宋_GB2312" w:hAnsi="宋体" w:eastAsia="仿宋_GB2312" w:cs="仿宋_GB2312"/>
          <w:sz w:val="28"/>
          <w:szCs w:val="32"/>
        </w:rPr>
      </w:pPr>
      <w:r>
        <w:rPr>
          <w:rFonts w:ascii="仿宋_GB2312" w:hAnsi="Calibri" w:eastAsia="仿宋_GB2312" w:cs="Calibri"/>
          <w:sz w:val="28"/>
          <w:szCs w:val="32"/>
        </w:rPr>
        <w:pict>
          <v:line id="_x0000_s2054" o:spid="_x0000_s2054" o:spt="20" style="position:absolute;left:0pt;margin-left:-5.25pt;margin-top:3.2pt;height:0pt;width:401.35pt;z-index:251660288;mso-width-relative:page;mso-height-relative:page;" coordsize="21600,21600">
            <v:path arrowok="t"/>
            <v:fill focussize="0,0"/>
            <v:stroke/>
            <v:imagedata o:title=""/>
            <o:lock v:ext="edit"/>
          </v:line>
        </w:pict>
      </w:r>
      <w:r>
        <w:rPr>
          <w:rFonts w:ascii="仿宋_GB2312" w:hAnsi="Calibri" w:eastAsia="仿宋_GB2312" w:cs="Calibri"/>
          <w:sz w:val="28"/>
          <w:szCs w:val="32"/>
        </w:rPr>
        <w:pict>
          <v:line id="_x0000_s2055" o:spid="_x0000_s2055" o:spt="20" style="position:absolute;left:0pt;margin-left:-5.25pt;margin-top:33.95pt;height:0pt;width:401.35pt;z-index:251661312;mso-width-relative:page;mso-height-relative:page;" coordsize="21600,21600">
            <v:path arrowok="t"/>
            <v:fill focussize="0,0"/>
            <v:stroke/>
            <v:imagedata o:title=""/>
            <o:lock v:ext="edit"/>
          </v:line>
        </w:pict>
      </w:r>
      <w:r>
        <w:rPr>
          <w:rFonts w:hint="eastAsia" w:ascii="仿宋_GB2312" w:hAnsi="宋体" w:eastAsia="仿宋_GB2312" w:cs="仿宋_GB2312"/>
          <w:sz w:val="28"/>
          <w:szCs w:val="32"/>
        </w:rPr>
        <w:t>莆田市住房公积金管理中心          2018年6月26日印发</w:t>
      </w:r>
    </w:p>
    <w:sectPr>
      <w:footerReference r:id="rId3" w:type="default"/>
      <w:pgSz w:w="11906" w:h="16838"/>
      <w:pgMar w:top="1531" w:right="2098" w:bottom="1531"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95167A"/>
    <w:multiLevelType w:val="singleLevel"/>
    <w:tmpl w:val="C395167A"/>
    <w:lvl w:ilvl="0" w:tentative="0">
      <w:start w:val="7"/>
      <w:numFmt w:val="chineseCounting"/>
      <w:suff w:val="nothing"/>
      <w:lvlText w:val="%1、"/>
      <w:lvlJc w:val="left"/>
      <w:rPr>
        <w:rFonts w:hint="eastAsia" w:ascii="黑体" w:hAnsi="黑体" w:eastAsia="黑体"/>
      </w:rPr>
    </w:lvl>
  </w:abstractNum>
  <w:abstractNum w:abstractNumId="1">
    <w:nsid w:val="282BFE99"/>
    <w:multiLevelType w:val="singleLevel"/>
    <w:tmpl w:val="282BFE9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0A2F"/>
    <w:rsid w:val="0002500B"/>
    <w:rsid w:val="00030A2F"/>
    <w:rsid w:val="00036E0A"/>
    <w:rsid w:val="00045325"/>
    <w:rsid w:val="0006255C"/>
    <w:rsid w:val="00080F31"/>
    <w:rsid w:val="00086424"/>
    <w:rsid w:val="00092B3C"/>
    <w:rsid w:val="000C304B"/>
    <w:rsid w:val="000D04B7"/>
    <w:rsid w:val="00111E78"/>
    <w:rsid w:val="00121133"/>
    <w:rsid w:val="00165222"/>
    <w:rsid w:val="001E0FAD"/>
    <w:rsid w:val="001E19CA"/>
    <w:rsid w:val="00203A71"/>
    <w:rsid w:val="00212104"/>
    <w:rsid w:val="00213A14"/>
    <w:rsid w:val="00235A57"/>
    <w:rsid w:val="00271BF2"/>
    <w:rsid w:val="002953AA"/>
    <w:rsid w:val="002B0B44"/>
    <w:rsid w:val="002B20C6"/>
    <w:rsid w:val="002B2853"/>
    <w:rsid w:val="002D55A4"/>
    <w:rsid w:val="002E12E6"/>
    <w:rsid w:val="003A274B"/>
    <w:rsid w:val="003C106D"/>
    <w:rsid w:val="003D4E31"/>
    <w:rsid w:val="003E61EB"/>
    <w:rsid w:val="003E7844"/>
    <w:rsid w:val="003F0BB3"/>
    <w:rsid w:val="00421FF2"/>
    <w:rsid w:val="0045347F"/>
    <w:rsid w:val="00457433"/>
    <w:rsid w:val="00475BBA"/>
    <w:rsid w:val="00484E8A"/>
    <w:rsid w:val="004C38D2"/>
    <w:rsid w:val="00553E0A"/>
    <w:rsid w:val="005D6C71"/>
    <w:rsid w:val="005E0D53"/>
    <w:rsid w:val="00645E21"/>
    <w:rsid w:val="006557E4"/>
    <w:rsid w:val="006901F9"/>
    <w:rsid w:val="007173B6"/>
    <w:rsid w:val="00731184"/>
    <w:rsid w:val="00734E6A"/>
    <w:rsid w:val="0073583B"/>
    <w:rsid w:val="00740A19"/>
    <w:rsid w:val="007929AC"/>
    <w:rsid w:val="007B2675"/>
    <w:rsid w:val="007C6706"/>
    <w:rsid w:val="007D1C4B"/>
    <w:rsid w:val="007D7ACD"/>
    <w:rsid w:val="007F0738"/>
    <w:rsid w:val="007F1FC6"/>
    <w:rsid w:val="007F78EE"/>
    <w:rsid w:val="00803513"/>
    <w:rsid w:val="00826479"/>
    <w:rsid w:val="008A1B1B"/>
    <w:rsid w:val="008A1B70"/>
    <w:rsid w:val="0091405E"/>
    <w:rsid w:val="009351DA"/>
    <w:rsid w:val="0094747F"/>
    <w:rsid w:val="0094772D"/>
    <w:rsid w:val="009737B3"/>
    <w:rsid w:val="009739D2"/>
    <w:rsid w:val="00986848"/>
    <w:rsid w:val="00992087"/>
    <w:rsid w:val="00992918"/>
    <w:rsid w:val="009A01DB"/>
    <w:rsid w:val="009C26C9"/>
    <w:rsid w:val="009C6B5F"/>
    <w:rsid w:val="009C724E"/>
    <w:rsid w:val="009D5E15"/>
    <w:rsid w:val="00A04D52"/>
    <w:rsid w:val="00A33645"/>
    <w:rsid w:val="00A336E1"/>
    <w:rsid w:val="00A56355"/>
    <w:rsid w:val="00A67BE2"/>
    <w:rsid w:val="00A82B24"/>
    <w:rsid w:val="00AB7CE3"/>
    <w:rsid w:val="00B15960"/>
    <w:rsid w:val="00B355CD"/>
    <w:rsid w:val="00B5682C"/>
    <w:rsid w:val="00BA4724"/>
    <w:rsid w:val="00BD4BAB"/>
    <w:rsid w:val="00C91937"/>
    <w:rsid w:val="00C93E38"/>
    <w:rsid w:val="00CB0794"/>
    <w:rsid w:val="00CB57A8"/>
    <w:rsid w:val="00CC1B0B"/>
    <w:rsid w:val="00CC566E"/>
    <w:rsid w:val="00CC5F65"/>
    <w:rsid w:val="00CD5658"/>
    <w:rsid w:val="00CD5758"/>
    <w:rsid w:val="00CE7FB0"/>
    <w:rsid w:val="00D0627F"/>
    <w:rsid w:val="00D26020"/>
    <w:rsid w:val="00D366CD"/>
    <w:rsid w:val="00D5558D"/>
    <w:rsid w:val="00D7264E"/>
    <w:rsid w:val="00D75D47"/>
    <w:rsid w:val="00D800F1"/>
    <w:rsid w:val="00DB663F"/>
    <w:rsid w:val="00DD4434"/>
    <w:rsid w:val="00DD6D18"/>
    <w:rsid w:val="00DF1390"/>
    <w:rsid w:val="00E05A94"/>
    <w:rsid w:val="00E14E51"/>
    <w:rsid w:val="00E60D72"/>
    <w:rsid w:val="00E70DFE"/>
    <w:rsid w:val="00EA36A0"/>
    <w:rsid w:val="00EF5BFF"/>
    <w:rsid w:val="00F20C1E"/>
    <w:rsid w:val="00F4158B"/>
    <w:rsid w:val="00FA0874"/>
    <w:rsid w:val="0A980ED6"/>
    <w:rsid w:val="152B2557"/>
    <w:rsid w:val="19790FC4"/>
    <w:rsid w:val="1BCF7E14"/>
    <w:rsid w:val="2ADB21C0"/>
    <w:rsid w:val="2E9278B7"/>
    <w:rsid w:val="30DD4DBA"/>
    <w:rsid w:val="3B6631A9"/>
    <w:rsid w:val="41894D1A"/>
    <w:rsid w:val="4824729F"/>
    <w:rsid w:val="491675C2"/>
    <w:rsid w:val="4A6F4297"/>
    <w:rsid w:val="5A8D4711"/>
    <w:rsid w:val="661A17F9"/>
    <w:rsid w:val="73FF0827"/>
    <w:rsid w:val="7564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Date"/>
    <w:basedOn w:val="1"/>
    <w:next w:val="1"/>
    <w:link w:val="10"/>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kern w:val="2"/>
      <w:sz w:val="18"/>
      <w:szCs w:val="18"/>
    </w:rPr>
  </w:style>
  <w:style w:type="character" w:customStyle="1" w:styleId="9">
    <w:name w:val="页脚 Char"/>
    <w:basedOn w:val="6"/>
    <w:link w:val="4"/>
    <w:semiHidden/>
    <w:qFormat/>
    <w:uiPriority w:val="99"/>
    <w:rPr>
      <w:kern w:val="2"/>
      <w:sz w:val="18"/>
      <w:szCs w:val="18"/>
    </w:rPr>
  </w:style>
  <w:style w:type="character" w:customStyle="1" w:styleId="10">
    <w:name w:val="日期 Char"/>
    <w:basedOn w:val="6"/>
    <w:link w:val="3"/>
    <w:semiHidden/>
    <w:qFormat/>
    <w:uiPriority w:val="99"/>
    <w:rPr>
      <w:kern w:val="2"/>
      <w:sz w:val="21"/>
      <w:szCs w:val="22"/>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1381F-1EE4-43E0-9B1D-D1970F0F606C}">
  <ds:schemaRefs/>
</ds:datastoreItem>
</file>

<file path=docProps/app.xml><?xml version="1.0" encoding="utf-8"?>
<Properties xmlns="http://schemas.openxmlformats.org/officeDocument/2006/extended-properties" xmlns:vt="http://schemas.openxmlformats.org/officeDocument/2006/docPropsVTypes">
  <Template>Normal</Template>
  <Company>安腾伟业IT连锁</Company>
  <Pages>7</Pages>
  <Words>350</Words>
  <Characters>1996</Characters>
  <Lines>16</Lines>
  <Paragraphs>4</Paragraphs>
  <TotalTime>60</TotalTime>
  <ScaleCrop>false</ScaleCrop>
  <LinksUpToDate>false</LinksUpToDate>
  <CharactersWithSpaces>2342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2016-07-05T08:39:00Z</dcterms:created>
  <dc:creator>Administrator</dc:creator>
  <cp:lastModifiedBy>Administrator</cp:lastModifiedBy>
  <cp:lastPrinted>2018-06-27T01:02:18Z</cp:lastPrinted>
  <dcterms:modified xsi:type="dcterms:W3CDTF">2018-06-27T01:05:58Z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